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60" w:rsidRPr="000372F3" w:rsidRDefault="00AA4C44">
      <w:pPr>
        <w:pStyle w:val="1"/>
        <w:pBdr>
          <w:top w:val="none" w:sz="4" w:space="0" w:color="000000"/>
          <w:left w:val="none" w:sz="4" w:space="0" w:color="000000"/>
          <w:bottom w:val="none" w:sz="4" w:space="0" w:color="000000"/>
          <w:right w:val="none" w:sz="4" w:space="0" w:color="000000"/>
        </w:pBdr>
        <w:spacing w:before="0" w:after="480" w:line="600" w:lineRule="atLeast"/>
        <w:rPr>
          <w:rFonts w:ascii="Times New Roman" w:hAnsi="Times New Roman" w:cs="Times New Roman"/>
          <w:color w:val="000000" w:themeColor="text1"/>
        </w:rPr>
      </w:pPr>
      <w:r w:rsidRPr="000372F3">
        <w:rPr>
          <w:rFonts w:ascii="Times New Roman" w:hAnsi="Times New Roman" w:cs="Times New Roman"/>
          <w:b/>
          <w:color w:val="000000" w:themeColor="text1"/>
        </w:rPr>
        <w:t>Материально-техническое обеспечение и оснащенность</w:t>
      </w:r>
    </w:p>
    <w:p w:rsidR="00EC1F60" w:rsidRPr="00A57344" w:rsidRDefault="00AA4C44">
      <w:pPr>
        <w:pStyle w:val="2"/>
        <w:pBdr>
          <w:top w:val="none" w:sz="4" w:space="0" w:color="000000"/>
          <w:left w:val="none" w:sz="4" w:space="0" w:color="000000"/>
          <w:bottom w:val="none" w:sz="4" w:space="0" w:color="000000"/>
          <w:right w:val="none" w:sz="4" w:space="0" w:color="000000"/>
        </w:pBdr>
        <w:spacing w:before="300" w:after="210" w:line="478" w:lineRule="atLeast"/>
        <w:rPr>
          <w:rFonts w:ascii="Times New Roman" w:hAnsi="Times New Roman" w:cs="Times New Roman"/>
          <w:b/>
          <w:sz w:val="28"/>
          <w:szCs w:val="28"/>
        </w:rPr>
      </w:pPr>
      <w:r w:rsidRPr="00A57344">
        <w:rPr>
          <w:rFonts w:ascii="Times New Roman" w:hAnsi="Times New Roman" w:cs="Times New Roman"/>
          <w:b/>
          <w:color w:val="000000"/>
          <w:sz w:val="28"/>
          <w:szCs w:val="28"/>
        </w:rPr>
        <w:t>Дата ввода в эксплуатацию используемого объекта Организации отдыха и дата капитального ремонта </w:t>
      </w:r>
    </w:p>
    <w:p w:rsidR="00EC1F60" w:rsidRDefault="000372F3">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8"/>
          <w:szCs w:val="28"/>
        </w:rPr>
      </w:pPr>
      <w:r>
        <w:rPr>
          <w:rFonts w:ascii="Times New Roman" w:eastAsia="Times New Roman" w:hAnsi="Times New Roman" w:cs="Times New Roman"/>
          <w:color w:val="000000"/>
          <w:sz w:val="28"/>
          <w:szCs w:val="28"/>
        </w:rPr>
        <w:t>В 1982</w:t>
      </w:r>
      <w:r w:rsidR="00AA4C44">
        <w:rPr>
          <w:rFonts w:ascii="Times New Roman" w:eastAsia="Times New Roman" w:hAnsi="Times New Roman" w:cs="Times New Roman"/>
          <w:color w:val="000000"/>
          <w:sz w:val="28"/>
          <w:szCs w:val="28"/>
        </w:rPr>
        <w:t xml:space="preserve"> году Организация отдыха введена в эксплуатацию. </w:t>
      </w:r>
      <w:r w:rsidR="00AA4C44">
        <w:rPr>
          <w:rFonts w:ascii="Times New Roman" w:eastAsia="Times New Roman" w:hAnsi="Times New Roman" w:cs="Times New Roman"/>
          <w:color w:val="000000"/>
          <w:sz w:val="28"/>
          <w:szCs w:val="28"/>
        </w:rPr>
        <w:br/>
        <w:t>Капитального ремонта не было.</w:t>
      </w:r>
    </w:p>
    <w:p w:rsidR="00EC1F60" w:rsidRPr="00A57344" w:rsidRDefault="00AA4C44">
      <w:pPr>
        <w:pStyle w:val="2"/>
        <w:pBdr>
          <w:top w:val="none" w:sz="4" w:space="0" w:color="000000"/>
          <w:left w:val="none" w:sz="4" w:space="0" w:color="000000"/>
          <w:bottom w:val="none" w:sz="4" w:space="0" w:color="000000"/>
          <w:right w:val="none" w:sz="4" w:space="0" w:color="000000"/>
        </w:pBdr>
        <w:spacing w:before="300" w:after="210" w:line="478" w:lineRule="atLeast"/>
        <w:rPr>
          <w:rFonts w:ascii="Times New Roman" w:hAnsi="Times New Roman" w:cs="Times New Roman"/>
          <w:b/>
          <w:sz w:val="28"/>
          <w:szCs w:val="28"/>
        </w:rPr>
      </w:pPr>
      <w:r w:rsidRPr="00A57344">
        <w:rPr>
          <w:rFonts w:ascii="Times New Roman" w:hAnsi="Times New Roman" w:cs="Times New Roman"/>
          <w:b/>
          <w:color w:val="000000"/>
          <w:sz w:val="28"/>
          <w:szCs w:val="28"/>
        </w:rPr>
        <w:t>Условия проживания детей в организации отдыха</w:t>
      </w:r>
    </w:p>
    <w:p w:rsidR="00EC1F60" w:rsidRDefault="00AA4C44">
      <w:pPr>
        <w:pBdr>
          <w:top w:val="none" w:sz="4" w:space="0" w:color="000000"/>
          <w:left w:val="none" w:sz="4" w:space="0" w:color="000000"/>
          <w:bottom w:val="none" w:sz="4" w:space="0" w:color="000000"/>
          <w:right w:val="none" w:sz="4" w:space="0" w:color="000000"/>
        </w:pBdr>
        <w:spacing w:before="90" w:after="210" w:line="328"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Проживание детей не осуществляется, так как Организация отдыха функционирует в форме лагеря с дневным пребыванием на базе образовательной организации.</w:t>
      </w:r>
    </w:p>
    <w:p w:rsidR="00EC1F60" w:rsidRDefault="00AA4C44">
      <w:pPr>
        <w:pStyle w:val="2"/>
        <w:pBdr>
          <w:top w:val="none" w:sz="4" w:space="0" w:color="000000"/>
          <w:left w:val="none" w:sz="4" w:space="0" w:color="000000"/>
          <w:bottom w:val="none" w:sz="4" w:space="0" w:color="000000"/>
          <w:right w:val="none" w:sz="4" w:space="0" w:color="000000"/>
        </w:pBdr>
        <w:spacing w:before="300" w:after="210" w:line="478" w:lineRule="atLeast"/>
        <w:rPr>
          <w:rFonts w:ascii="Times New Roman" w:hAnsi="Times New Roman" w:cs="Times New Roman"/>
          <w:sz w:val="28"/>
          <w:szCs w:val="28"/>
        </w:rPr>
      </w:pPr>
      <w:r>
        <w:rPr>
          <w:rFonts w:ascii="Times New Roman" w:hAnsi="Times New Roman" w:cs="Times New Roman"/>
          <w:b/>
          <w:color w:val="000000"/>
          <w:sz w:val="28"/>
          <w:szCs w:val="28"/>
        </w:rPr>
        <w:t>Условия питания детей в Организации отдыха</w:t>
      </w:r>
    </w:p>
    <w:p w:rsidR="00EC1F60" w:rsidRDefault="00AA4C44">
      <w:pPr>
        <w:pBdr>
          <w:top w:val="none" w:sz="4" w:space="0" w:color="000000"/>
          <w:left w:val="none" w:sz="4" w:space="0" w:color="000000"/>
          <w:bottom w:val="none" w:sz="4" w:space="0" w:color="000000"/>
          <w:right w:val="none" w:sz="4" w:space="0" w:color="000000"/>
        </w:pBdr>
        <w:spacing w:before="90" w:after="210" w:line="32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Питание учащихся организовано по цикличному меню в строгом соответствии с ГОСТами и с учетом физиологической потребности детей в биологически ценных веществах, в результате чего рационы сбалансированы по основным пищевым ингредиентам. Разработано меню питания детей на все  периоды  отдыха и оздоровления. Обеденный зал оборудован на 70 посадочных мест. Имеется достаточное количество комплектов столовой посуды и приборов.</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О материально-техническом обеспечении образовательной и воспитательной деятельности, в том числе о наличии оборудованных учебных кабинетов, объектов для проведения практических занятий, библиотек и объектов спорта:</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pPr>
      <w:r>
        <w:rPr>
          <w:rFonts w:ascii="Times New Roman" w:eastAsia="Times New Roman" w:hAnsi="Times New Roman" w:cs="Times New Roman"/>
          <w:color w:val="000000"/>
          <w:sz w:val="28"/>
        </w:rPr>
        <w:t xml:space="preserve">Рекреация, используется как игровая зона -  1 </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pPr>
      <w:r>
        <w:rPr>
          <w:rFonts w:ascii="Times New Roman" w:eastAsia="Times New Roman" w:hAnsi="Times New Roman" w:cs="Times New Roman"/>
          <w:color w:val="000000"/>
          <w:sz w:val="28"/>
        </w:rPr>
        <w:t>Классные комнаты, используемые как игровые помещения - 2</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pPr>
      <w:r>
        <w:rPr>
          <w:rFonts w:ascii="Times New Roman" w:eastAsia="Times New Roman" w:hAnsi="Times New Roman" w:cs="Times New Roman"/>
          <w:color w:val="000000"/>
          <w:sz w:val="28"/>
        </w:rPr>
        <w:t>Обеденный зал столовой - 1</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pPr>
      <w:r>
        <w:rPr>
          <w:rFonts w:ascii="Times New Roman" w:eastAsia="Times New Roman" w:hAnsi="Times New Roman" w:cs="Times New Roman"/>
          <w:color w:val="000000"/>
          <w:sz w:val="28"/>
        </w:rPr>
        <w:t>Спортивный зал - 1</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pPr>
      <w:r>
        <w:rPr>
          <w:rFonts w:ascii="Times New Roman" w:eastAsia="Times New Roman" w:hAnsi="Times New Roman" w:cs="Times New Roman"/>
          <w:color w:val="000000"/>
          <w:sz w:val="28"/>
        </w:rPr>
        <w:t>Информационно - библиотечный центр - 1</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rPr>
          <w:sz w:val="24"/>
          <w:szCs w:val="24"/>
        </w:rPr>
      </w:pPr>
      <w:r>
        <w:rPr>
          <w:rFonts w:ascii="Times New Roman" w:eastAsia="Times New Roman" w:hAnsi="Times New Roman" w:cs="Times New Roman"/>
          <w:color w:val="000000"/>
          <w:sz w:val="28"/>
        </w:rPr>
        <w:t>Спортивная площадка - 1</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lastRenderedPageBreak/>
        <w:t>д) о материально-техническом обеспечении территории и объектов для осуществления оздоровительной деятельности (при условии осуществления такой деятельности).</w:t>
      </w:r>
    </w:p>
    <w:p w:rsidR="00EC1F60" w:rsidRDefault="00AA4C44">
      <w:pPr>
        <w:pBdr>
          <w:top w:val="none" w:sz="4" w:space="0" w:color="000000"/>
          <w:left w:val="none" w:sz="4" w:space="0" w:color="000000"/>
          <w:bottom w:val="none" w:sz="4" w:space="0" w:color="000000"/>
          <w:right w:val="none" w:sz="4" w:space="0" w:color="000000"/>
        </w:pBdr>
        <w:shd w:val="clear" w:color="FFFFFF" w:fill="FFFFFF"/>
        <w:spacing w:before="90" w:after="210"/>
      </w:pPr>
      <w:r>
        <w:rPr>
          <w:rFonts w:ascii="Times New Roman" w:eastAsia="Times New Roman" w:hAnsi="Times New Roman" w:cs="Times New Roman"/>
          <w:color w:val="000000"/>
          <w:sz w:val="28"/>
        </w:rPr>
        <w:t>Центр образования цифрового и гуманитар</w:t>
      </w:r>
      <w:r w:rsidR="000372F3">
        <w:rPr>
          <w:rFonts w:ascii="Times New Roman" w:eastAsia="Times New Roman" w:hAnsi="Times New Roman" w:cs="Times New Roman"/>
          <w:color w:val="000000"/>
          <w:sz w:val="28"/>
        </w:rPr>
        <w:t>ного профилей «Точка роста» в МОУ Прасковьинская СШ открыт в 2021 году, представлен в трех</w:t>
      </w:r>
      <w:bookmarkStart w:id="0" w:name="_GoBack"/>
      <w:bookmarkEnd w:id="0"/>
      <w:r>
        <w:rPr>
          <w:rFonts w:ascii="Times New Roman" w:eastAsia="Times New Roman" w:hAnsi="Times New Roman" w:cs="Times New Roman"/>
          <w:color w:val="000000"/>
          <w:sz w:val="28"/>
        </w:rPr>
        <w:t xml:space="preserve"> кабинетах: Кабинет</w:t>
      </w:r>
      <w:r w:rsidR="000372F3">
        <w:rPr>
          <w:rFonts w:ascii="Times New Roman" w:eastAsia="Times New Roman" w:hAnsi="Times New Roman" w:cs="Times New Roman"/>
          <w:color w:val="000000"/>
          <w:sz w:val="28"/>
        </w:rPr>
        <w:t xml:space="preserve"> химии</w:t>
      </w:r>
      <w:r>
        <w:rPr>
          <w:rFonts w:ascii="Times New Roman" w:eastAsia="Times New Roman" w:hAnsi="Times New Roman" w:cs="Times New Roman"/>
          <w:color w:val="000000"/>
          <w:sz w:val="28"/>
        </w:rPr>
        <w:t>, Кабинет ф</w:t>
      </w:r>
      <w:r w:rsidR="000372F3">
        <w:rPr>
          <w:rFonts w:ascii="Times New Roman" w:eastAsia="Times New Roman" w:hAnsi="Times New Roman" w:cs="Times New Roman"/>
          <w:color w:val="000000"/>
          <w:sz w:val="28"/>
        </w:rPr>
        <w:t>изики, кабинет технологии</w:t>
      </w:r>
      <w:r>
        <w:rPr>
          <w:rFonts w:ascii="Times New Roman" w:eastAsia="Times New Roman" w:hAnsi="Times New Roman" w:cs="Times New Roman"/>
          <w:color w:val="000000"/>
          <w:sz w:val="28"/>
        </w:rPr>
        <w:t>.</w:t>
      </w:r>
    </w:p>
    <w:p w:rsidR="00EC1F60" w:rsidRDefault="00AA4C44" w:rsidP="00A57344">
      <w:pPr>
        <w:pBdr>
          <w:top w:val="none" w:sz="4" w:space="0" w:color="000000"/>
          <w:left w:val="none" w:sz="4" w:space="0" w:color="000000"/>
          <w:bottom w:val="none" w:sz="4" w:space="0" w:color="000000"/>
          <w:right w:val="none" w:sz="4" w:space="0" w:color="000000"/>
        </w:pBdr>
        <w:shd w:val="clear" w:color="FFFFFF" w:fill="FFFFFF"/>
        <w:spacing w:before="90" w:after="210"/>
        <w:jc w:val="both"/>
        <w:rPr>
          <w:sz w:val="24"/>
          <w:szCs w:val="24"/>
        </w:rPr>
      </w:pPr>
      <w:r>
        <w:rPr>
          <w:rFonts w:ascii="Times New Roman" w:eastAsia="Times New Roman" w:hAnsi="Times New Roman" w:cs="Times New Roman"/>
          <w:color w:val="000000"/>
          <w:sz w:val="28"/>
        </w:rPr>
        <w:t xml:space="preserve">     В целях открытия и работы Центра Министерством образования и науки Ульяновской области в школу в безвозмездное пользование было передано оборудование (МФУ (принтер, сканер, копир), ноутбуки, 3D-принтер, инструменты для работы на технологии, квадрокоптеры, смартфон, практическое пособие для изучения основ механики, кинематики, динамики в начальной и основной школе, комплект для обучения шахматам, тренажеры-манекены, набор имитаторов травм и поражений, шина складная, воротник шейный, табельные средства для оказания первой медицинской помощи, фотограмметрическое программное обеспечение, мебель (стол для шахмат, стул для шахматной зоны, стол для проектной деятельности, стул для проектной зоны, кресло-мешок)).</w:t>
      </w:r>
    </w:p>
    <w:sectPr w:rsidR="00EC1F6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B5" w:rsidRDefault="007223B5">
      <w:pPr>
        <w:spacing w:after="0" w:line="240" w:lineRule="auto"/>
      </w:pPr>
      <w:r>
        <w:separator/>
      </w:r>
    </w:p>
  </w:endnote>
  <w:endnote w:type="continuationSeparator" w:id="0">
    <w:p w:rsidR="007223B5" w:rsidRDefault="0072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B5" w:rsidRDefault="007223B5">
      <w:pPr>
        <w:spacing w:after="0" w:line="240" w:lineRule="auto"/>
      </w:pPr>
      <w:r>
        <w:separator/>
      </w:r>
    </w:p>
  </w:footnote>
  <w:footnote w:type="continuationSeparator" w:id="0">
    <w:p w:rsidR="007223B5" w:rsidRDefault="00722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60"/>
    <w:rsid w:val="000372F3"/>
    <w:rsid w:val="007223B5"/>
    <w:rsid w:val="00A57344"/>
    <w:rsid w:val="00AA4C44"/>
    <w:rsid w:val="00EC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BE582-FD03-4AE5-9ECE-7C0442C7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2025-05-30T04:34:00Z</dcterms:created>
  <dcterms:modified xsi:type="dcterms:W3CDTF">2025-05-30T04:34:00Z</dcterms:modified>
</cp:coreProperties>
</file>